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9C200" w14:textId="47F058C5" w:rsidR="00BD0C83" w:rsidRDefault="00CB7ECA" w:rsidP="00BD0C83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 wp14:anchorId="6A8A6318" wp14:editId="6C631043">
            <wp:extent cx="5760720" cy="80454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pier Fundusze Europejskie 2.nagljp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4B452" w14:textId="40E899FC" w:rsidR="005C4A49" w:rsidRDefault="006874E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Załącznik nr 2.1</w:t>
      </w: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7777777"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29D4A816" w:rsidR="00EF45B6" w:rsidRPr="001D1545" w:rsidRDefault="00EF45B6" w:rsidP="001D154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5B4E006B" w:rsidR="00EF45B6" w:rsidRPr="004818DA" w:rsidRDefault="00EF45B6" w:rsidP="004818DA">
      <w:pPr>
        <w:spacing w:before="240" w:after="0" w:line="360" w:lineRule="auto"/>
        <w:ind w:firstLine="709"/>
        <w:jc w:val="both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CB7ECA" w:rsidRPr="00CB7ECA">
        <w:rPr>
          <w:rFonts w:ascii="Arial" w:hAnsi="Arial" w:cs="Arial"/>
          <w:b/>
          <w:sz w:val="21"/>
          <w:szCs w:val="21"/>
        </w:rPr>
        <w:t>Przebudowa systemu ciepłowni</w:t>
      </w:r>
      <w:r w:rsidR="00AC00CD">
        <w:rPr>
          <w:rFonts w:ascii="Arial" w:hAnsi="Arial" w:cs="Arial"/>
          <w:b/>
          <w:sz w:val="21"/>
          <w:szCs w:val="21"/>
        </w:rPr>
        <w:t>czego Krakowa i Skawiny – etap 5</w:t>
      </w:r>
      <w:bookmarkStart w:id="0" w:name="_GoBack"/>
      <w:bookmarkEnd w:id="0"/>
      <w:r w:rsidR="00E94407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E94407">
        <w:rPr>
          <w:rFonts w:ascii="Arial" w:hAnsi="Arial" w:cs="Arial"/>
          <w:sz w:val="21"/>
          <w:szCs w:val="21"/>
        </w:rPr>
        <w:t xml:space="preserve">MPEC S.A. w Krakowie,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</w:t>
      </w:r>
      <w:r w:rsidRPr="0084509A">
        <w:rPr>
          <w:rFonts w:ascii="Arial" w:hAnsi="Arial" w:cs="Arial"/>
          <w:sz w:val="21"/>
          <w:szCs w:val="21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2E4AEE6F" w:rsidR="00EF45B6" w:rsidRPr="00CB7ECA" w:rsidRDefault="00EF45B6" w:rsidP="00CB7EC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35F3742" w14:textId="0BA9DFBC" w:rsidR="00462D74" w:rsidRPr="00CB7ECA" w:rsidRDefault="00EF45B6" w:rsidP="00462D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69FEF992" w:rsidR="0072465F" w:rsidRPr="00B44CA8" w:rsidRDefault="0072465F" w:rsidP="00B44C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B44CA8" w:rsidSect="00B44CA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3DB7"/>
    <w:rsid w:val="00074793"/>
    <w:rsid w:val="0008372E"/>
    <w:rsid w:val="000B07BD"/>
    <w:rsid w:val="000B1DB3"/>
    <w:rsid w:val="000F1021"/>
    <w:rsid w:val="00101E83"/>
    <w:rsid w:val="00124937"/>
    <w:rsid w:val="00163825"/>
    <w:rsid w:val="00164500"/>
    <w:rsid w:val="001878D7"/>
    <w:rsid w:val="001A0D70"/>
    <w:rsid w:val="001C7622"/>
    <w:rsid w:val="001D1545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18DA"/>
    <w:rsid w:val="00494258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74E9"/>
    <w:rsid w:val="006D40F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00CD"/>
    <w:rsid w:val="00AC6DF2"/>
    <w:rsid w:val="00AD57EB"/>
    <w:rsid w:val="00B076D6"/>
    <w:rsid w:val="00B406D1"/>
    <w:rsid w:val="00B44CA8"/>
    <w:rsid w:val="00B53B57"/>
    <w:rsid w:val="00B81D52"/>
    <w:rsid w:val="00BA798A"/>
    <w:rsid w:val="00BD0C83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B7ECA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440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8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80507-1863-417B-A699-D2CF3B628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Bajak Joanna</cp:lastModifiedBy>
  <cp:revision>15</cp:revision>
  <cp:lastPrinted>2022-09-27T07:59:00Z</cp:lastPrinted>
  <dcterms:created xsi:type="dcterms:W3CDTF">2022-05-06T13:13:00Z</dcterms:created>
  <dcterms:modified xsi:type="dcterms:W3CDTF">2022-12-19T12:36:00Z</dcterms:modified>
</cp:coreProperties>
</file>