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63316A2C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674A4">
        <w:rPr>
          <w:rFonts w:ascii="Arial" w:hAnsi="Arial" w:cs="Arial"/>
          <w:b/>
          <w:sz w:val="21"/>
          <w:szCs w:val="21"/>
        </w:rPr>
        <w:t>Dostawy rur i elementów sieci preizolowanych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 xml:space="preserve">MPEC S.A. </w:t>
      </w:r>
      <w:r w:rsidR="003674A4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="003D43BD">
        <w:rPr>
          <w:rFonts w:ascii="Arial" w:hAnsi="Arial" w:cs="Arial"/>
          <w:sz w:val="21"/>
          <w:szCs w:val="21"/>
        </w:rPr>
        <w:t>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E44E15"/>
    <w:rsid w:val="00EC2674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14</cp:revision>
  <cp:lastPrinted>2022-08-17T09:34:00Z</cp:lastPrinted>
  <dcterms:created xsi:type="dcterms:W3CDTF">2022-05-06T13:14:00Z</dcterms:created>
  <dcterms:modified xsi:type="dcterms:W3CDTF">2022-08-17T09:34:00Z</dcterms:modified>
</cp:coreProperties>
</file>