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735142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5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735142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5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</w:t>
      </w:r>
      <w:r w:rsidR="00381CF4">
        <w:rPr>
          <w:b/>
          <w:snapToGrid w:val="0"/>
        </w:rPr>
        <w:t>czego Krakowa i Skawiny – etap 2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BB7D49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IZ/U/13</w:t>
      </w:r>
      <w:bookmarkStart w:id="0" w:name="_GoBack"/>
      <w:bookmarkEnd w:id="0"/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</w:t>
      </w:r>
      <w:r w:rsidR="00381CF4">
        <w:rPr>
          <w:rFonts w:ascii="Calibri" w:hAnsi="Calibri" w:cs="Calibri"/>
          <w:b/>
          <w:snapToGrid w:val="0"/>
        </w:rPr>
        <w:t>czego Krakowa i Skawiny – etap 2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735142" w:rsidRDefault="00735142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735142">
        <w:rPr>
          <w:rFonts w:ascii="Calibri" w:hAnsi="Calibri" w:cs="Calibri"/>
          <w:b/>
          <w:i/>
          <w:snapToGrid w:val="0"/>
        </w:rPr>
        <w:t>Odcinek 7 – Przebudowa istniejącego systemu ciepłowniczego – sieć magistralna PN 2 x DN 500 mm na odcinku od komory 1ZKV1 do komory 1ZKV3A/1 w rejonie Al. Powstania Warszawskiego w Krakowie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cena netto:   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 xml:space="preserve">cena brutto:       ...............................................    PLN 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381CF4" w:rsidRDefault="00381CF4" w:rsidP="00381CF4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 xml:space="preserve">___ 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BB7D49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974FB">
      <w:rPr>
        <w:noProof/>
      </w:rPr>
      <w:drawing>
        <wp:inline distT="0" distB="0" distL="0" distR="0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BB7D49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IZ/U/13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8pt;height:45.4pt" o:ole="" fillcolor="window">
          <v:imagedata r:id="rId2" o:title=""/>
        </v:shape>
        <o:OLEObject Type="Embed" ProgID="Word.Picture.8" ShapeID="_x0000_i1025" DrawAspect="Content" ObjectID="_167004377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1CF4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974FB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14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B7D49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3"/>
    <w:rsid w:val="00DD6A67"/>
    <w:rsid w:val="00DD715E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F8CF-2126-4765-9413-AC4EFB32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18</cp:revision>
  <cp:lastPrinted>2020-12-21T07:16:00Z</cp:lastPrinted>
  <dcterms:created xsi:type="dcterms:W3CDTF">2020-02-17T12:23:00Z</dcterms:created>
  <dcterms:modified xsi:type="dcterms:W3CDTF">2020-12-21T07:16:00Z</dcterms:modified>
</cp:coreProperties>
</file>