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10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EA77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IZ/U/9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647C19">
        <w:rPr>
          <w:rFonts w:asciiTheme="minorHAnsi" w:hAnsiTheme="minorHAnsi" w:cs="Arial"/>
          <w:b/>
          <w:sz w:val="22"/>
          <w:szCs w:val="22"/>
        </w:rPr>
      </w:r>
      <w:r w:rsidR="00647C1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647C19">
        <w:rPr>
          <w:rFonts w:asciiTheme="minorHAnsi" w:hAnsiTheme="minorHAnsi" w:cs="Arial"/>
          <w:b/>
          <w:sz w:val="22"/>
          <w:szCs w:val="22"/>
        </w:rPr>
      </w:r>
      <w:r w:rsidR="00647C1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675D1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F8044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br/>
              <w:t>i ilości węzłów ciepłowniczych</w:t>
            </w:r>
            <w:r w:rsidR="00DF74FA">
              <w:rPr>
                <w:rFonts w:asciiTheme="minorHAnsi" w:hAnsiTheme="minorHAnsi" w:cstheme="minorHAnsi"/>
                <w:sz w:val="22"/>
                <w:szCs w:val="22"/>
              </w:rPr>
              <w:t xml:space="preserve"> dwufunkcyjnych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647C1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wie i Skawinie – etap I 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(etap 10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F80443" w:rsidRPr="00A44FEA" w:rsidRDefault="00F80443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technologii 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 Wykonawcę technologii …..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EA77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IZ/U/9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647C19">
        <w:rPr>
          <w:rFonts w:asciiTheme="minorHAnsi" w:hAnsiTheme="minorHAnsi" w:cstheme="minorHAnsi"/>
          <w:b/>
          <w:sz w:val="22"/>
          <w:szCs w:val="22"/>
        </w:rPr>
      </w:r>
      <w:r w:rsidR="00647C1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647C19">
        <w:rPr>
          <w:rFonts w:asciiTheme="minorHAnsi" w:hAnsiTheme="minorHAnsi" w:cstheme="minorHAnsi"/>
          <w:b/>
          <w:sz w:val="22"/>
          <w:szCs w:val="22"/>
        </w:rPr>
      </w:r>
      <w:r w:rsidR="00647C19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Default="001500EE" w:rsidP="001500EE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EA77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IZ/U/9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A7750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EA7750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Pr="00126327" w:rsidRDefault="001500EE" w:rsidP="001500EE">
      <w:pPr>
        <w:jc w:val="center"/>
        <w:rPr>
          <w:rFonts w:asciiTheme="minorHAnsi" w:hAnsiTheme="minorHAnsi" w:cs="Arial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</w:t>
      </w:r>
      <w:r w:rsidR="00EA77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a: IZ/U/9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EA7750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EA7750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1500EE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312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EA77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500EE" w:rsidRDefault="001500EE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EA77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/9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45F" w:rsidRDefault="0067045F" w:rsidP="00BE245A">
      <w:r>
        <w:separator/>
      </w:r>
    </w:p>
  </w:endnote>
  <w:endnote w:type="continuationSeparator" w:id="0">
    <w:p w:rsidR="0067045F" w:rsidRDefault="0067045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47C19">
          <w:rPr>
            <w:rFonts w:asciiTheme="minorHAnsi" w:hAnsiTheme="minorHAnsi"/>
            <w:noProof/>
          </w:rPr>
          <w:t>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45F" w:rsidRDefault="0067045F" w:rsidP="00BE245A">
      <w:r>
        <w:separator/>
      </w:r>
    </w:p>
  </w:footnote>
  <w:footnote w:type="continuationSeparator" w:id="0">
    <w:p w:rsidR="0067045F" w:rsidRDefault="0067045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5F4250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26CA6E10" wp14:editId="3EED101D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EA7750">
      <w:rPr>
        <w:rFonts w:asciiTheme="minorHAnsi" w:hAnsiTheme="minorHAnsi"/>
        <w:b/>
        <w:sz w:val="18"/>
        <w:szCs w:val="18"/>
      </w:rPr>
      <w:t>postępowania : IZ/U/9</w:t>
    </w:r>
    <w:r w:rsidR="005F4250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5942007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54157-94A9-4A85-AB0F-A8A98DDD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1577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5</cp:revision>
  <cp:lastPrinted>2020-01-23T08:33:00Z</cp:lastPrinted>
  <dcterms:created xsi:type="dcterms:W3CDTF">2020-04-17T06:19:00Z</dcterms:created>
  <dcterms:modified xsi:type="dcterms:W3CDTF">2020-08-20T07:15:00Z</dcterms:modified>
</cp:coreProperties>
</file>